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5940">
      <w:pPr>
        <w:pStyle w:val="ConsPlusNormal"/>
        <w:spacing w:before="200"/>
      </w:pPr>
      <w:bookmarkStart w:id="0" w:name="_GoBack"/>
      <w:bookmarkEnd w:id="0"/>
    </w:p>
    <w:p w:rsidR="00000000" w:rsidRDefault="00B85940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000000" w:rsidRDefault="00B85940">
      <w:pPr>
        <w:pStyle w:val="ConsPlusNormal"/>
        <w:spacing w:before="200"/>
      </w:pPr>
      <w:r>
        <w:t>Республики Беларусь 6 июня 2022 г. N 9/116124</w:t>
      </w:r>
    </w:p>
    <w:p w:rsidR="00000000" w:rsidRDefault="00B859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85940">
      <w:pPr>
        <w:pStyle w:val="ConsPlusNormal"/>
      </w:pPr>
    </w:p>
    <w:p w:rsidR="00000000" w:rsidRDefault="00B85940">
      <w:pPr>
        <w:pStyle w:val="ConsPlusTitle"/>
        <w:jc w:val="center"/>
      </w:pPr>
      <w:r>
        <w:t>РЕШЕНИЕ МИНСКОГО ГОРОДСКОГО ИСПОЛНИТЕЛЬНОГО КОМИТЕТА</w:t>
      </w:r>
    </w:p>
    <w:p w:rsidR="00000000" w:rsidRDefault="00B85940">
      <w:pPr>
        <w:pStyle w:val="ConsPlusTitle"/>
        <w:jc w:val="center"/>
      </w:pPr>
      <w:r>
        <w:t>26 мая 2022 г. N 1530</w:t>
      </w:r>
    </w:p>
    <w:p w:rsidR="00000000" w:rsidRDefault="00B85940">
      <w:pPr>
        <w:pStyle w:val="ConsPlusTitle"/>
        <w:jc w:val="center"/>
      </w:pPr>
    </w:p>
    <w:p w:rsidR="00000000" w:rsidRDefault="00B85940">
      <w:pPr>
        <w:pStyle w:val="ConsPlusTitle"/>
        <w:jc w:val="center"/>
      </w:pPr>
      <w:r>
        <w:t>ОБ ОПРЕДЕЛЕНИИ КРИТЕРИЕВ УХУДШЕНИЯ АРХИТЕКТУРНОГО ОБЛИКА ЗДАНИЯ (СООРУЖЕНИЯ), ЗАСТРОЙКИ ТЕРРИТОРИИ</w:t>
      </w:r>
    </w:p>
    <w:p w:rsidR="00000000" w:rsidRDefault="00B85940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859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решения Мингорисполкома от 09.02.2023 N 357)</w:t>
            </w:r>
          </w:p>
        </w:tc>
      </w:tr>
    </w:tbl>
    <w:p w:rsidR="00000000" w:rsidRDefault="00B85940">
      <w:pPr>
        <w:pStyle w:val="ConsPlusNormal"/>
      </w:pPr>
    </w:p>
    <w:p w:rsidR="00000000" w:rsidRDefault="00B85940">
      <w:pPr>
        <w:pStyle w:val="ConsPlusNormal"/>
        <w:ind w:firstLine="540"/>
        <w:jc w:val="both"/>
      </w:pPr>
      <w:r>
        <w:t>На основании подпункта 17.8 пункта 17 и абзаца четвертого подпункта 29.3 пункта 29 Положения о порядк</w:t>
      </w:r>
      <w:r>
        <w:t>е выдачи, продления действия, переоформления и прекращения действия разрешения на размещение средства наружной рекламы, утвержденного постановлением Совета Министров Республики Беларусь от 7 июля 2021 г. N 395, Минский городской исполнительный комитет РЕШИ</w:t>
      </w:r>
      <w:r>
        <w:t>Л: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1. Определить критерии ухудшения архитектурного облика здания (сооружения), застройки территории в связи с размещением средства наружной рекламы согласно приложению.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2. Настоящее решение вступает в силу после его официального опубликования.</w:t>
      </w:r>
    </w:p>
    <w:p w:rsidR="00000000" w:rsidRDefault="00B859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0"/>
        <w:gridCol w:w="4860"/>
      </w:tblGrid>
      <w:tr w:rsidR="00000000">
        <w:tc>
          <w:tcPr>
            <w:tcW w:w="4260" w:type="dxa"/>
          </w:tcPr>
          <w:p w:rsidR="00000000" w:rsidRDefault="00B85940">
            <w:pPr>
              <w:pStyle w:val="ConsPlusNormal"/>
              <w:jc w:val="both"/>
            </w:pPr>
            <w:r>
              <w:t>Председатель</w:t>
            </w:r>
          </w:p>
        </w:tc>
        <w:tc>
          <w:tcPr>
            <w:tcW w:w="4860" w:type="dxa"/>
          </w:tcPr>
          <w:p w:rsidR="00000000" w:rsidRDefault="00B85940">
            <w:pPr>
              <w:pStyle w:val="ConsPlusNormal"/>
              <w:jc w:val="right"/>
            </w:pPr>
            <w:r>
              <w:t>В.Е.Кухарев</w:t>
            </w:r>
          </w:p>
        </w:tc>
      </w:tr>
      <w:tr w:rsidR="00000000">
        <w:tc>
          <w:tcPr>
            <w:tcW w:w="4260" w:type="dxa"/>
          </w:tcPr>
          <w:p w:rsidR="00000000" w:rsidRDefault="00B85940">
            <w:pPr>
              <w:pStyle w:val="ConsPlusNormal"/>
              <w:jc w:val="both"/>
            </w:pPr>
          </w:p>
        </w:tc>
        <w:tc>
          <w:tcPr>
            <w:tcW w:w="4860" w:type="dxa"/>
          </w:tcPr>
          <w:p w:rsidR="00000000" w:rsidRDefault="00B85940">
            <w:pPr>
              <w:pStyle w:val="ConsPlusNormal"/>
              <w:jc w:val="right"/>
            </w:pPr>
          </w:p>
        </w:tc>
      </w:tr>
      <w:tr w:rsidR="00000000">
        <w:tc>
          <w:tcPr>
            <w:tcW w:w="4260" w:type="dxa"/>
          </w:tcPr>
          <w:p w:rsidR="00000000" w:rsidRDefault="00B85940">
            <w:pPr>
              <w:pStyle w:val="ConsPlusNormal"/>
              <w:jc w:val="both"/>
            </w:pPr>
            <w:r>
              <w:t>Управляющий делами</w:t>
            </w:r>
          </w:p>
        </w:tc>
        <w:tc>
          <w:tcPr>
            <w:tcW w:w="4860" w:type="dxa"/>
          </w:tcPr>
          <w:p w:rsidR="00000000" w:rsidRDefault="00B85940">
            <w:pPr>
              <w:pStyle w:val="ConsPlusNormal"/>
              <w:jc w:val="right"/>
            </w:pPr>
            <w:r>
              <w:t>А.М.Мательская</w:t>
            </w:r>
          </w:p>
        </w:tc>
      </w:tr>
    </w:tbl>
    <w:p w:rsidR="00000000" w:rsidRDefault="00B85940">
      <w:pPr>
        <w:pStyle w:val="ConsPlusNormal"/>
        <w:jc w:val="both"/>
      </w:pPr>
    </w:p>
    <w:p w:rsidR="00000000" w:rsidRDefault="00B85940">
      <w:pPr>
        <w:pStyle w:val="ConsPlusNormal"/>
        <w:jc w:val="both"/>
      </w:pPr>
    </w:p>
    <w:p w:rsidR="00000000" w:rsidRDefault="00B85940">
      <w:pPr>
        <w:pStyle w:val="ConsPlusNormal"/>
        <w:jc w:val="both"/>
      </w:pPr>
    </w:p>
    <w:p w:rsidR="00000000" w:rsidRDefault="00B85940">
      <w:pPr>
        <w:pStyle w:val="ConsPlusNormal"/>
        <w:jc w:val="both"/>
      </w:pPr>
    </w:p>
    <w:p w:rsidR="00000000" w:rsidRDefault="00B85940">
      <w:pPr>
        <w:pStyle w:val="ConsPlusNormal"/>
        <w:jc w:val="both"/>
      </w:pPr>
    </w:p>
    <w:p w:rsidR="00000000" w:rsidRDefault="00B85940">
      <w:pPr>
        <w:pStyle w:val="ConsPlusNormal"/>
        <w:jc w:val="right"/>
        <w:outlineLvl w:val="0"/>
      </w:pPr>
      <w:r>
        <w:t>Приложение</w:t>
      </w:r>
    </w:p>
    <w:p w:rsidR="00000000" w:rsidRDefault="00B85940">
      <w:pPr>
        <w:pStyle w:val="ConsPlusNormal"/>
        <w:jc w:val="right"/>
      </w:pPr>
      <w:r>
        <w:t>к решению</w:t>
      </w:r>
    </w:p>
    <w:p w:rsidR="00000000" w:rsidRDefault="00B85940">
      <w:pPr>
        <w:pStyle w:val="ConsPlusNormal"/>
        <w:jc w:val="right"/>
      </w:pPr>
      <w:r>
        <w:t>Минского городского</w:t>
      </w:r>
    </w:p>
    <w:p w:rsidR="00000000" w:rsidRDefault="00B85940">
      <w:pPr>
        <w:pStyle w:val="ConsPlusNormal"/>
        <w:jc w:val="right"/>
      </w:pPr>
      <w:r>
        <w:t>исполнительного комитета</w:t>
      </w:r>
    </w:p>
    <w:p w:rsidR="00000000" w:rsidRDefault="00B85940">
      <w:pPr>
        <w:pStyle w:val="ConsPlusNormal"/>
        <w:jc w:val="right"/>
      </w:pPr>
      <w:r>
        <w:t>26.05.2022 N 1530</w:t>
      </w:r>
    </w:p>
    <w:p w:rsidR="00000000" w:rsidRDefault="00B85940">
      <w:pPr>
        <w:pStyle w:val="ConsPlusNormal"/>
        <w:jc w:val="right"/>
      </w:pPr>
      <w:r>
        <w:t>(в редакции решения</w:t>
      </w:r>
    </w:p>
    <w:p w:rsidR="00000000" w:rsidRDefault="00B85940">
      <w:pPr>
        <w:pStyle w:val="ConsPlusNormal"/>
        <w:jc w:val="right"/>
      </w:pPr>
      <w:r>
        <w:t>Минского городского</w:t>
      </w:r>
    </w:p>
    <w:p w:rsidR="00000000" w:rsidRDefault="00B85940">
      <w:pPr>
        <w:pStyle w:val="ConsPlusNormal"/>
        <w:jc w:val="right"/>
      </w:pPr>
      <w:r>
        <w:t>исполнительного комитета</w:t>
      </w:r>
    </w:p>
    <w:p w:rsidR="00000000" w:rsidRDefault="00B85940">
      <w:pPr>
        <w:pStyle w:val="ConsPlusNormal"/>
        <w:jc w:val="right"/>
      </w:pPr>
      <w:r>
        <w:t>09.02.2023 N 357)</w:t>
      </w:r>
    </w:p>
    <w:p w:rsidR="00000000" w:rsidRDefault="00B85940">
      <w:pPr>
        <w:pStyle w:val="ConsPlusNormal"/>
      </w:pPr>
    </w:p>
    <w:p w:rsidR="00000000" w:rsidRDefault="00B85940">
      <w:pPr>
        <w:pStyle w:val="ConsPlusTitle"/>
        <w:jc w:val="center"/>
      </w:pPr>
      <w:bookmarkStart w:id="1" w:name="Par39"/>
      <w:bookmarkEnd w:id="1"/>
      <w:r>
        <w:t>КРИТЕРИИ</w:t>
      </w:r>
    </w:p>
    <w:p w:rsidR="00000000" w:rsidRDefault="00B85940">
      <w:pPr>
        <w:pStyle w:val="ConsPlusTitle"/>
        <w:jc w:val="center"/>
      </w:pPr>
      <w:r>
        <w:t>УХУДШЕНИЯ АРХИТЕКТУРНОГО ОБЛИКА ЗДАНИЯ (СООРУЖЕНИЯ), ЗАСТРОЙКИ ТЕРРИТОРИИ В СВЯЗИ С РАЗМЕЩЕНИЕМ СРЕДСТВА НАРУЖНОЙ РЕКЛАМЫ</w:t>
      </w:r>
    </w:p>
    <w:p w:rsidR="00000000" w:rsidRDefault="00B85940">
      <w:pPr>
        <w:pStyle w:val="ConsPlusNormal"/>
        <w:jc w:val="center"/>
      </w:pPr>
      <w:r>
        <w:t>(в ред. решения Мингорисполкома от 09.02.2023 N 357)</w:t>
      </w:r>
    </w:p>
    <w:p w:rsidR="00000000" w:rsidRDefault="00B85940">
      <w:pPr>
        <w:pStyle w:val="ConsPlusNormal"/>
      </w:pPr>
    </w:p>
    <w:p w:rsidR="00000000" w:rsidRDefault="00B85940">
      <w:pPr>
        <w:pStyle w:val="ConsPlusNormal"/>
        <w:ind w:firstLine="540"/>
        <w:jc w:val="both"/>
      </w:pPr>
      <w:r>
        <w:t>1. Размещение отдельно стоящего средства наружной рекламы на фундаменте, располо</w:t>
      </w:r>
      <w:r>
        <w:t>женном полностью либо частично выше уровня поверхности земли.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2. Несоблюдение единой высоты нижнего края рекламного поля отдельно стоящих средств наружной рекламы одного вида, расположенных на перекрестке в зоне прямой видимости.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3. Размещение по вертикали</w:t>
      </w:r>
      <w:r>
        <w:t xml:space="preserve"> двух и более средств наружной рекламы на одной опоре, за исключением указателя с общей площадью не более 1,8 кв. м.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lastRenderedPageBreak/>
        <w:t>4. Размещение новой надкрышной рекламной конструкции, без предусмотренных проектной документацией конструктивных элементов на здание, на ко</w:t>
      </w:r>
      <w:r>
        <w:t>торых могут размещаться средства наружной рекламы.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5. Размещение средства наружной рекламы на балконах и лоджиях жилых зданий (сооружений).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6. Размещение средства наружной рекламы на здании без композиционной привязки: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к осям конструктивных и архитектурных</w:t>
      </w:r>
      <w:r>
        <w:t xml:space="preserve"> элементов фасадов зданий (сооружений) (окно, витрина, входная группа) и другим расположенным на фасаде средствам наружной рекламы;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к другим отдельно стоящим средствам наружной рекламы, расположенным на прилегающей территории.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 xml:space="preserve">7. Несоблюдение масштабности </w:t>
      </w:r>
      <w:r>
        <w:t>и нарушение восприятия геометрических размеров элементов фасада.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8. Несоответствие средства наружной рекламы (форма, размер, пропорции, цвет, масштаб, товарный знак, материал) стилистике и цветовому решению фасада здания (сооружения), на котором размещаетс</w:t>
      </w:r>
      <w:r>
        <w:t>я средство наружной рекламы.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9. Размещение средства наружной рекламы на архитектурных элементах декора фасада здания (сооружения) (колонны шириной менее одного метра, пилястры, орнаменты, лепнина и другие).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10. Размещение средства наружной рекламы за преде</w:t>
      </w:r>
      <w:r>
        <w:t>лами внешней поверхности фасада жилого здания (сооружения), занимаемых рекламодателем в здании (сооружении) помещений, за исключением указателя, кронштейна.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 xml:space="preserve">11. Размещение средства наружной рекламы на фасадах зданий (сооружений) с использованием баннерной </w:t>
      </w:r>
      <w:r>
        <w:t>ткани без конструктивной основы.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12. Размещение средства наружной рекламы на расстоянии менее двух метров от мемориальных досок, информационных табличек и одного метра от адресного знака.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13. Размещение на фасадах многоквартирных жилых домов призматронов и</w:t>
      </w:r>
      <w:r>
        <w:t xml:space="preserve"> других средств наружной рекламы с использованием динамических систем автоматической смены изображений.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14. Размещение средства наружной рекламы посредством полной или частичной замены остекления витрин здания (сооружения), за исключением светопропускаемых мультимедийных рекламных конструкций.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15. Размещение нового средства наружной рекламы на конструктивных</w:t>
      </w:r>
      <w:r>
        <w:t xml:space="preserve"> элементах путепроводов (мостов), на или под ними, расположенных на элементах улично-дорожной сети &lt;*&gt;.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&lt;*&gt; Проспекты Дзержинского, Жукова, Машерова, Мира, Независимости, Партизанский, Победителей, Пушкина, площади Бангалор</w:t>
      </w:r>
      <w:r>
        <w:t>, Богушевича, Восьмого марта, Государственного флага, Независимости, Якуба Коласа, Октябрьская, Победы, Привокзальная, Свободы, Юбилейная, улицы Академическая, Аранская, Аэродромная, Леонида Беды, Белградская, Берсона, Бобруйская, Максима Богдановича, Брил</w:t>
      </w:r>
      <w:r>
        <w:t>евская, Ванеева, Ваупшасова, Витебская, Володарского, Герцена, Городской вал, Денисовская, Долгобродская, Железнодорожная, Жуковского, Запорожская, Захарова, Зыбицкая, Интернациональная, Кальварийская, Лейтенанта Кижеватова, Кирова, Кирилла и Мефодия, Кисе</w:t>
      </w:r>
      <w:r>
        <w:t>лева, Козлова, Якуба Коласа, Минская кольцевая автомобильная дорога, Коммунистическая, Комсомольская, Красная, Красноармейская, Куйбышева, Янки Купалы, Ленина, Ленинградская, Карла Маркса, Маяковского, Мельникайте, Могилевская, Московская, Мясникова, Немиг</w:t>
      </w:r>
      <w:r>
        <w:t>а, Орловская, Первомайская, Притыцкого, Радиальная, Раковская, Революционная, Романовская Слобода, Свердлова, Советская, Столетова, Сторожевская, Сурганова, Николы Теслы, Тимирязева, Толстого, Ульяновская, Веры Хоружей, Клары Цеткин, Чапаева, Чкалова, Энге</w:t>
      </w:r>
      <w:r>
        <w:t>льса, бульвар 17 Сентября, Логойский тракт, проезд Дрозды, переулки Домашевский, Михайловский, Музыкальный.</w:t>
      </w:r>
    </w:p>
    <w:p w:rsidR="00000000" w:rsidRDefault="00B85940">
      <w:pPr>
        <w:pStyle w:val="ConsPlusNormal"/>
        <w:ind w:firstLine="540"/>
        <w:jc w:val="both"/>
      </w:pPr>
    </w:p>
    <w:p w:rsidR="00000000" w:rsidRDefault="00B85940">
      <w:pPr>
        <w:pStyle w:val="ConsPlusNormal"/>
        <w:ind w:firstLine="540"/>
        <w:jc w:val="both"/>
      </w:pPr>
      <w:r>
        <w:t>16. Использование пульсирующего режима подсветки при размещении средства наружной рекламы с 23.00 до 07.00.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17. Размещение средства наружной реклам</w:t>
      </w:r>
      <w:r>
        <w:t xml:space="preserve">ы в арочном пространстве с уменьшением высоты проема </w:t>
      </w:r>
      <w:r>
        <w:lastRenderedPageBreak/>
        <w:t>(в проездных арках высотой до 4,50 метра, в проходных арках высотой до 4,0 метра).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18. Нахождение средства наружной рекламы в ненадлежащем эстетическом и (или) техническом состоянии, в том числе содержащ</w:t>
      </w:r>
      <w:r>
        <w:t>ие посторонние надписи и рисунки.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19. Размещение средства наружной рекламы, за исключением указателей, панелей, на зеленых насаждениях, турникетах, малых архитектурных формах, урнах, опорах наружного освещения, остановочных навесах, за исключением предусмо</w:t>
      </w:r>
      <w:r>
        <w:t>тренных проектом установки.</w:t>
      </w:r>
    </w:p>
    <w:p w:rsidR="00000000" w:rsidRDefault="00B85940">
      <w:pPr>
        <w:pStyle w:val="ConsPlusNormal"/>
        <w:spacing w:before="200"/>
        <w:ind w:firstLine="540"/>
        <w:jc w:val="both"/>
      </w:pPr>
      <w:r>
        <w:t>20. Размещение одним рекламораспространителем более одной плакатницы и иной выносной рекламной конструкции с площадью рекламного поля до 1 кв. метра на расстоянии не более 5 метров от зданий (сооружений), в которых рекламораспро</w:t>
      </w:r>
      <w:r>
        <w:t>странитель осуществляет деятельность или реализует рекламируемые товары (работы, услуги).</w:t>
      </w:r>
    </w:p>
    <w:p w:rsidR="00000000" w:rsidRDefault="00B85940">
      <w:pPr>
        <w:pStyle w:val="ConsPlusNormal"/>
        <w:ind w:firstLine="540"/>
        <w:jc w:val="both"/>
      </w:pPr>
    </w:p>
    <w:p w:rsidR="00000000" w:rsidRDefault="00B85940">
      <w:pPr>
        <w:pStyle w:val="ConsPlusNormal"/>
      </w:pPr>
    </w:p>
    <w:p w:rsidR="00000000" w:rsidRDefault="00B859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5940" w:rsidRDefault="00B85940">
      <w:pPr>
        <w:pStyle w:val="ConsPlusNormal"/>
        <w:rPr>
          <w:sz w:val="16"/>
          <w:szCs w:val="16"/>
        </w:rPr>
      </w:pPr>
    </w:p>
    <w:sectPr w:rsidR="00B8594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66"/>
    <w:rsid w:val="00826166"/>
    <w:rsid w:val="00B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B3AFEF9-C496-4E00-A6C4-0162CD62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5313</Characters>
  <Application>Microsoft Office Word</Application>
  <DocSecurity>2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gis</dc:creator>
  <cp:keywords/>
  <dc:description/>
  <cp:lastModifiedBy>gis</cp:lastModifiedBy>
  <cp:revision>2</cp:revision>
  <dcterms:created xsi:type="dcterms:W3CDTF">2026-07-09T06:22:00Z</dcterms:created>
  <dcterms:modified xsi:type="dcterms:W3CDTF">2026-07-09T06:22:00Z</dcterms:modified>
</cp:coreProperties>
</file>